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3969"/>
        <w:gridCol w:w="95"/>
      </w:tblGrid>
      <w:tr w:rsidR="00111A8A" w:rsidRPr="00320D2B" w14:paraId="6F4978B3" w14:textId="77777777" w:rsidTr="003D3AFA">
        <w:trPr>
          <w:gridAfter w:val="1"/>
          <w:wAfter w:w="95" w:type="dxa"/>
          <w:trHeight w:val="1550"/>
        </w:trPr>
        <w:tc>
          <w:tcPr>
            <w:tcW w:w="4395" w:type="dxa"/>
            <w:vAlign w:val="center"/>
            <w:hideMark/>
          </w:tcPr>
          <w:p w14:paraId="199E9720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0D2B">
              <w:rPr>
                <w:rFonts w:ascii="Arial" w:hAnsi="Arial" w:cs="Arial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A9485EA" wp14:editId="2EE25DF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167005</wp:posOffset>
                  </wp:positionV>
                  <wp:extent cx="752475" cy="771525"/>
                  <wp:effectExtent l="19050" t="0" r="9525" b="0"/>
                  <wp:wrapSquare wrapText="bothSides"/>
                  <wp:docPr id="2" name="Picture 4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14:paraId="74187346" w14:textId="77777777" w:rsidR="00111A8A" w:rsidRPr="00320D2B" w:rsidRDefault="00111A8A" w:rsidP="00111A8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690B3DA9" w14:textId="77777777" w:rsidR="00111A8A" w:rsidRPr="00320D2B" w:rsidRDefault="00111A8A" w:rsidP="00111A8A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0D2B">
              <w:rPr>
                <w:rFonts w:ascii="Arial" w:hAnsi="Arial" w:cs="Arial"/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3D3AAAD0" wp14:editId="0EB7B34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19050" t="0" r="0" b="0"/>
                  <wp:wrapNone/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1A8A" w:rsidRPr="00320D2B" w14:paraId="77107A18" w14:textId="77777777" w:rsidTr="003D3AFA">
        <w:tc>
          <w:tcPr>
            <w:tcW w:w="4395" w:type="dxa"/>
            <w:vAlign w:val="center"/>
            <w:hideMark/>
          </w:tcPr>
          <w:p w14:paraId="70A851FA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D2B">
              <w:rPr>
                <w:rFonts w:ascii="Arial" w:hAnsi="Arial" w:cs="Arial"/>
                <w:sz w:val="18"/>
                <w:szCs w:val="18"/>
              </w:rPr>
              <w:t>ΚΥΠΡΙΑΚΗ ΔΗΜΟΚΡΑΤΙΑ</w:t>
            </w:r>
          </w:p>
          <w:p w14:paraId="045DD3D8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D2B">
              <w:rPr>
                <w:rFonts w:ascii="Arial" w:hAnsi="Arial" w:cs="Arial"/>
                <w:b/>
                <w:sz w:val="20"/>
                <w:szCs w:val="20"/>
              </w:rPr>
              <w:t>ΥΠΟΥΡΓΕΙΟ</w:t>
            </w:r>
          </w:p>
          <w:p w14:paraId="1E94A7DD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D2B">
              <w:rPr>
                <w:rFonts w:ascii="Arial" w:hAnsi="Arial" w:cs="Arial"/>
                <w:b/>
                <w:sz w:val="20"/>
                <w:szCs w:val="20"/>
              </w:rPr>
              <w:t>ΜΕΤΑΦΟΡΩΝ, ΕΠΙΚΟΙΝΩΝΙΩΝ ΚΑΙ ΕΡΓΩΝ</w:t>
            </w:r>
          </w:p>
          <w:p w14:paraId="47F88B12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4" w:type="dxa"/>
            <w:gridSpan w:val="3"/>
          </w:tcPr>
          <w:p w14:paraId="24FC1DD0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AD1084" w14:textId="4A363971" w:rsidR="002D7FD7" w:rsidRDefault="00BA6C6A" w:rsidP="00BB54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Αρ. </w:t>
      </w:r>
      <w:proofErr w:type="spellStart"/>
      <w:r>
        <w:rPr>
          <w:rFonts w:ascii="Arial" w:hAnsi="Arial" w:cs="Arial"/>
          <w:b/>
          <w:bCs/>
        </w:rPr>
        <w:t>Φακ</w:t>
      </w:r>
      <w:proofErr w:type="spellEnd"/>
      <w:r>
        <w:rPr>
          <w:rFonts w:ascii="Arial" w:hAnsi="Arial" w:cs="Arial"/>
          <w:b/>
          <w:bCs/>
        </w:rPr>
        <w:t>.: 12.03.001.01</w:t>
      </w:r>
    </w:p>
    <w:p w14:paraId="10454E74" w14:textId="4779FF26" w:rsidR="00BB5485" w:rsidRPr="00320D2B" w:rsidRDefault="00535535" w:rsidP="00BB5485">
      <w:pPr>
        <w:rPr>
          <w:rFonts w:ascii="Arial" w:hAnsi="Arial" w:cs="Arial"/>
          <w:b/>
          <w:bCs/>
        </w:rPr>
      </w:pPr>
      <w:r w:rsidRPr="00BA6C6A">
        <w:rPr>
          <w:rFonts w:ascii="Arial" w:hAnsi="Arial" w:cs="Arial"/>
          <w:b/>
          <w:bCs/>
        </w:rPr>
        <w:t>12</w:t>
      </w:r>
      <w:r w:rsidR="00BB5485">
        <w:rPr>
          <w:rFonts w:ascii="Arial" w:hAnsi="Arial" w:cs="Arial"/>
          <w:b/>
          <w:bCs/>
        </w:rPr>
        <w:t xml:space="preserve"> </w:t>
      </w:r>
      <w:r w:rsidR="000F53CA">
        <w:rPr>
          <w:rFonts w:ascii="Arial" w:hAnsi="Arial" w:cs="Arial"/>
          <w:b/>
          <w:bCs/>
        </w:rPr>
        <w:t>Οκτωβρίου</w:t>
      </w:r>
      <w:r w:rsidR="00BB5485">
        <w:rPr>
          <w:rFonts w:ascii="Arial" w:hAnsi="Arial" w:cs="Arial"/>
          <w:b/>
          <w:bCs/>
        </w:rPr>
        <w:t>, 2022</w:t>
      </w:r>
    </w:p>
    <w:p w14:paraId="10866EAF" w14:textId="77777777" w:rsidR="00BB0898" w:rsidRPr="00BB0898" w:rsidRDefault="00BB0898" w:rsidP="00BB0898">
      <w:pPr>
        <w:spacing w:after="0" w:line="240" w:lineRule="auto"/>
        <w:outlineLvl w:val="0"/>
        <w:rPr>
          <w:rFonts w:ascii="Arial" w:eastAsia="Batang" w:hAnsi="Arial" w:cs="Arial"/>
          <w:b/>
          <w:u w:val="single"/>
        </w:rPr>
      </w:pPr>
      <w:r w:rsidRPr="00BB0898">
        <w:rPr>
          <w:rFonts w:ascii="Arial" w:eastAsia="Batang" w:hAnsi="Arial" w:cs="Arial"/>
          <w:b/>
          <w:u w:val="single"/>
        </w:rPr>
        <w:t>ΜΕ ΦΑΞ</w:t>
      </w:r>
    </w:p>
    <w:p w14:paraId="1050EAEC" w14:textId="77777777" w:rsidR="00BB0898" w:rsidRPr="00BB0898" w:rsidRDefault="00BB0898" w:rsidP="00BB0898">
      <w:pPr>
        <w:spacing w:after="0" w:line="240" w:lineRule="auto"/>
        <w:outlineLvl w:val="0"/>
        <w:rPr>
          <w:rFonts w:ascii="Arial" w:eastAsia="Batang" w:hAnsi="Arial" w:cs="Arial"/>
          <w:b/>
          <w:u w:val="single"/>
        </w:rPr>
      </w:pPr>
    </w:p>
    <w:p w14:paraId="0B510DD2" w14:textId="77777777" w:rsidR="00BB0898" w:rsidRPr="00BB0898" w:rsidRDefault="004C151D" w:rsidP="00BB0898">
      <w:pPr>
        <w:spacing w:after="0" w:line="240" w:lineRule="auto"/>
        <w:outlineLvl w:val="0"/>
        <w:rPr>
          <w:rFonts w:ascii="Arial" w:eastAsia="Batang" w:hAnsi="Arial" w:cs="Arial"/>
        </w:rPr>
      </w:pPr>
      <w:r w:rsidRPr="00320D2B">
        <w:rPr>
          <w:rFonts w:ascii="Arial" w:eastAsia="Batang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4EE1" wp14:editId="7B32E327">
                <wp:simplePos x="0" y="0"/>
                <wp:positionH relativeFrom="column">
                  <wp:posOffset>-533823</wp:posOffset>
                </wp:positionH>
                <wp:positionV relativeFrom="paragraph">
                  <wp:posOffset>131022</wp:posOffset>
                </wp:positionV>
                <wp:extent cx="237066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434C4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05pt,10.3pt" to="-2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RWtgEAAMIDAAAOAAAAZHJzL2Uyb0RvYy54bWysU8GO0zAQvSPxD5bvNGnR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B0898" w:rsidRPr="00BB0898">
        <w:rPr>
          <w:rFonts w:ascii="Arial" w:eastAsia="Batang" w:hAnsi="Arial" w:cs="Arial"/>
        </w:rPr>
        <w:t>Π</w:t>
      </w:r>
      <w:r w:rsidR="006367DF" w:rsidRPr="00320D2B">
        <w:rPr>
          <w:rFonts w:ascii="Arial" w:eastAsia="Batang" w:hAnsi="Arial" w:cs="Arial"/>
        </w:rPr>
        <w:t>ίνακα</w:t>
      </w:r>
      <w:r w:rsidR="00BB5485">
        <w:rPr>
          <w:rFonts w:ascii="Arial" w:eastAsia="Batang" w:hAnsi="Arial" w:cs="Arial"/>
        </w:rPr>
        <w:t>ς</w:t>
      </w:r>
      <w:r w:rsidR="006367DF" w:rsidRPr="00320D2B">
        <w:rPr>
          <w:rFonts w:ascii="Arial" w:eastAsia="Batang" w:hAnsi="Arial" w:cs="Arial"/>
        </w:rPr>
        <w:t xml:space="preserve"> Αποδεκτών</w:t>
      </w:r>
    </w:p>
    <w:p w14:paraId="3F8BD99A" w14:textId="77777777" w:rsidR="00BB0898" w:rsidRPr="00BB0898" w:rsidRDefault="00BB0898" w:rsidP="00BB0898">
      <w:pPr>
        <w:spacing w:after="0" w:line="240" w:lineRule="auto"/>
        <w:rPr>
          <w:rFonts w:ascii="Arial" w:eastAsia="Batang" w:hAnsi="Arial" w:cs="Arial"/>
        </w:rPr>
      </w:pPr>
    </w:p>
    <w:p w14:paraId="55D03D0E" w14:textId="1ACC6C87" w:rsidR="004C151D" w:rsidRPr="00955DD3" w:rsidRDefault="004C151D" w:rsidP="004C151D">
      <w:pPr>
        <w:jc w:val="center"/>
        <w:rPr>
          <w:rFonts w:ascii="Arial" w:hAnsi="Arial" w:cs="Arial"/>
          <w:b/>
          <w:u w:val="single"/>
        </w:rPr>
      </w:pPr>
      <w:r w:rsidRPr="00955DD3">
        <w:rPr>
          <w:rFonts w:ascii="Arial" w:hAnsi="Arial" w:cs="Arial"/>
          <w:b/>
          <w:u w:val="single"/>
        </w:rPr>
        <w:t xml:space="preserve">ΕΝΗΜΕΡΩΤΙΚΟ ΔΕΛΤΙΟ </w:t>
      </w:r>
      <w:r w:rsidR="003151BE">
        <w:rPr>
          <w:rFonts w:ascii="Arial" w:hAnsi="Arial" w:cs="Arial"/>
          <w:b/>
          <w:u w:val="single"/>
        </w:rPr>
        <w:t>1</w:t>
      </w:r>
      <w:r w:rsidRPr="00955DD3">
        <w:rPr>
          <w:rFonts w:ascii="Arial" w:hAnsi="Arial" w:cs="Arial"/>
          <w:b/>
          <w:u w:val="single"/>
        </w:rPr>
        <w:t>/2022</w:t>
      </w:r>
    </w:p>
    <w:p w14:paraId="30C32538" w14:textId="2A1056F9" w:rsidR="006367DF" w:rsidRDefault="006367DF" w:rsidP="006367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6367DF">
        <w:rPr>
          <w:rFonts w:ascii="Arial" w:eastAsia="Times New Roman" w:hAnsi="Arial" w:cs="Arial"/>
          <w:b/>
          <w:u w:val="single"/>
        </w:rPr>
        <w:t>Οι περί Ηλεκτρισμού Νόμος (Κεφ. 170) και Κανονισμοί του 1941 μέχρι 201</w:t>
      </w:r>
      <w:r w:rsidR="005C2185">
        <w:rPr>
          <w:rFonts w:ascii="Arial" w:eastAsia="Times New Roman" w:hAnsi="Arial" w:cs="Arial"/>
          <w:b/>
          <w:u w:val="single"/>
        </w:rPr>
        <w:t>9</w:t>
      </w:r>
    </w:p>
    <w:p w14:paraId="4FE54B00" w14:textId="77777777" w:rsidR="00EA6366" w:rsidRPr="006367DF" w:rsidRDefault="00EA6366" w:rsidP="006367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37A0ACC2" w14:textId="4978CB3B" w:rsidR="00EA6366" w:rsidRDefault="00EA6366" w:rsidP="00EA6366">
      <w:pPr>
        <w:ind w:left="-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Καθορισμός μεθόδου προστασίας των χωστών καλωδίων σε κυκλώματα παροχών (κεντρικής παροχής και παροχών σε πίνακες διανομής)</w:t>
      </w:r>
    </w:p>
    <w:p w14:paraId="0B91BD67" w14:textId="1D467F77" w:rsidR="00F46659" w:rsidRDefault="00F46659" w:rsidP="00743226">
      <w:pPr>
        <w:ind w:left="-180"/>
        <w:jc w:val="both"/>
        <w:rPr>
          <w:rFonts w:ascii="Arial" w:hAnsi="Arial" w:cs="Arial"/>
        </w:rPr>
      </w:pPr>
      <w:r w:rsidRPr="00320D2B">
        <w:rPr>
          <w:rFonts w:ascii="Arial" w:hAnsi="Arial" w:cs="Arial"/>
        </w:rPr>
        <w:t xml:space="preserve">Το Τμήμα Ηλεκτρομηχανολογικών Υπηρεσιών, ως η αρμόδια υπηρεσία για την εφαρμογή των προνοιών της περί Ηλεκτρισμού Νομοθεσίας, περιλαμβανομένων και των προνοιών του προτύπου </w:t>
      </w:r>
      <w:r w:rsidRPr="00320D2B">
        <w:rPr>
          <w:rFonts w:ascii="Arial" w:hAnsi="Arial" w:cs="Arial"/>
          <w:lang w:val="en-GB"/>
        </w:rPr>
        <w:t>BS</w:t>
      </w:r>
      <w:r w:rsidRPr="00320D2B">
        <w:rPr>
          <w:rFonts w:ascii="Arial" w:hAnsi="Arial" w:cs="Arial"/>
        </w:rPr>
        <w:t xml:space="preserve"> 7671:2008 (2015) – 17η Έκδοση των Κανονισμών για τις ηλεκτρολογικές εγκαταστάσεις όπως έχει καθοριστεί με το Βασικό Διάταγμα Κ.Δ.Π. 168/2017 και το Τροποποιητικό Διάταγμα Κ.Δ.Π. 58/2018 που εξέδωσε ο Υπουργός Μεταφορών</w:t>
      </w:r>
      <w:r w:rsidR="00131E3F">
        <w:rPr>
          <w:rFonts w:ascii="Arial" w:hAnsi="Arial" w:cs="Arial"/>
        </w:rPr>
        <w:t>,</w:t>
      </w:r>
      <w:r w:rsidR="00131E3F" w:rsidRPr="00131E3F">
        <w:rPr>
          <w:rFonts w:ascii="Arial" w:hAnsi="Arial" w:cs="Arial"/>
        </w:rPr>
        <w:t xml:space="preserve"> </w:t>
      </w:r>
      <w:r w:rsidR="00131E3F" w:rsidRPr="00320D2B">
        <w:rPr>
          <w:rFonts w:ascii="Arial" w:hAnsi="Arial" w:cs="Arial"/>
        </w:rPr>
        <w:t>Επικοινωνιών</w:t>
      </w:r>
      <w:r w:rsidRPr="00320D2B">
        <w:rPr>
          <w:rFonts w:ascii="Arial" w:hAnsi="Arial" w:cs="Arial"/>
        </w:rPr>
        <w:t xml:space="preserve"> και Έργων, </w:t>
      </w:r>
      <w:proofErr w:type="spellStart"/>
      <w:r w:rsidR="00644BE5">
        <w:rPr>
          <w:rFonts w:ascii="Arial" w:hAnsi="Arial" w:cs="Arial"/>
        </w:rPr>
        <w:t>εφιστά</w:t>
      </w:r>
      <w:proofErr w:type="spellEnd"/>
      <w:r w:rsidR="00644BE5">
        <w:rPr>
          <w:rFonts w:ascii="Arial" w:hAnsi="Arial" w:cs="Arial"/>
        </w:rPr>
        <w:t xml:space="preserve"> την προσοχή,</w:t>
      </w:r>
      <w:r w:rsidRPr="00320D2B">
        <w:rPr>
          <w:rFonts w:ascii="Arial" w:hAnsi="Arial" w:cs="Arial"/>
        </w:rPr>
        <w:t xml:space="preserve"> </w:t>
      </w:r>
      <w:r w:rsidR="00644BE5">
        <w:rPr>
          <w:rFonts w:ascii="Arial" w:hAnsi="Arial" w:cs="Arial"/>
        </w:rPr>
        <w:t xml:space="preserve">σε </w:t>
      </w:r>
      <w:r w:rsidRPr="00320D2B">
        <w:rPr>
          <w:rFonts w:ascii="Arial" w:hAnsi="Arial" w:cs="Arial"/>
        </w:rPr>
        <w:t xml:space="preserve">όσους εμπλέκονται με τα θέματα που αφορούν </w:t>
      </w:r>
      <w:r w:rsidR="00644BE5">
        <w:rPr>
          <w:rFonts w:ascii="Arial" w:hAnsi="Arial" w:cs="Arial"/>
        </w:rPr>
        <w:t>σ</w:t>
      </w:r>
      <w:r w:rsidRPr="00320D2B">
        <w:rPr>
          <w:rFonts w:ascii="Arial" w:hAnsi="Arial" w:cs="Arial"/>
        </w:rPr>
        <w:t>τις ηλεκτρικές εγκαταστάσεις οι οποίες εμπίπτουν στην περί Ηλεκτρισμού Νομοθεσία</w:t>
      </w:r>
      <w:r w:rsidR="00D54603">
        <w:rPr>
          <w:rFonts w:ascii="Arial" w:hAnsi="Arial" w:cs="Arial"/>
        </w:rPr>
        <w:t>,</w:t>
      </w:r>
      <w:r w:rsidR="00644BE5">
        <w:rPr>
          <w:rFonts w:ascii="Arial" w:hAnsi="Arial" w:cs="Arial"/>
        </w:rPr>
        <w:t xml:space="preserve"> στην πιστή τήρηση των απαιτήσεων των </w:t>
      </w:r>
      <w:r w:rsidR="00644BE5" w:rsidRPr="005F7916">
        <w:rPr>
          <w:rFonts w:ascii="Arial" w:hAnsi="Arial" w:cs="Arial"/>
          <w:b/>
          <w:u w:val="single"/>
        </w:rPr>
        <w:t>Κανονισμών 522.6.201, 522.6.202, 522.6.203 και 522.6.2</w:t>
      </w:r>
      <w:r w:rsidR="00BA6C6A">
        <w:rPr>
          <w:rFonts w:ascii="Arial" w:hAnsi="Arial" w:cs="Arial"/>
          <w:b/>
          <w:u w:val="single"/>
        </w:rPr>
        <w:t>0</w:t>
      </w:r>
      <w:bookmarkStart w:id="0" w:name="_GoBack"/>
      <w:bookmarkEnd w:id="0"/>
      <w:r w:rsidR="00644BE5" w:rsidRPr="005F7916">
        <w:rPr>
          <w:rFonts w:ascii="Arial" w:hAnsi="Arial" w:cs="Arial"/>
          <w:b/>
          <w:u w:val="single"/>
        </w:rPr>
        <w:t>4 του προτύπου</w:t>
      </w:r>
      <w:r w:rsidR="00644BE5">
        <w:rPr>
          <w:rFonts w:ascii="Arial" w:hAnsi="Arial" w:cs="Arial"/>
        </w:rPr>
        <w:t xml:space="preserve">, όσον αφορά </w:t>
      </w:r>
      <w:r w:rsidR="005F7916">
        <w:rPr>
          <w:rFonts w:ascii="Arial" w:hAnsi="Arial" w:cs="Arial"/>
        </w:rPr>
        <w:t>σ</w:t>
      </w:r>
      <w:r w:rsidR="00644BE5">
        <w:rPr>
          <w:rFonts w:ascii="Arial" w:hAnsi="Arial" w:cs="Arial"/>
        </w:rPr>
        <w:t>τη</w:t>
      </w:r>
      <w:r w:rsidR="00E010F5">
        <w:rPr>
          <w:rFonts w:ascii="Arial" w:hAnsi="Arial" w:cs="Arial"/>
        </w:rPr>
        <w:t xml:space="preserve">ν </w:t>
      </w:r>
      <w:r w:rsidR="00644BE5">
        <w:rPr>
          <w:rFonts w:ascii="Arial" w:hAnsi="Arial" w:cs="Arial"/>
        </w:rPr>
        <w:t xml:space="preserve">προστασία καλωδιώσεων που είναι εγκαταστημένες εντός </w:t>
      </w:r>
      <w:r w:rsidR="00D959DB">
        <w:rPr>
          <w:rFonts w:ascii="Arial" w:hAnsi="Arial" w:cs="Arial"/>
        </w:rPr>
        <w:t>τοιχοποιίας</w:t>
      </w:r>
      <w:r w:rsidR="00644BE5">
        <w:rPr>
          <w:rFonts w:ascii="Arial" w:hAnsi="Arial" w:cs="Arial"/>
        </w:rPr>
        <w:t>, πατωμάτων και οροφών</w:t>
      </w:r>
      <w:r w:rsidR="00D959DB">
        <w:rPr>
          <w:rFonts w:ascii="Arial" w:hAnsi="Arial" w:cs="Arial"/>
        </w:rPr>
        <w:t>, περιλαμβανομένων των καλωδιώσεων κυκλ</w:t>
      </w:r>
      <w:r w:rsidR="005F7916">
        <w:rPr>
          <w:rFonts w:ascii="Arial" w:hAnsi="Arial" w:cs="Arial"/>
        </w:rPr>
        <w:t>ω</w:t>
      </w:r>
      <w:r w:rsidR="00D959DB">
        <w:rPr>
          <w:rFonts w:ascii="Arial" w:hAnsi="Arial" w:cs="Arial"/>
        </w:rPr>
        <w:t>μ</w:t>
      </w:r>
      <w:r w:rsidR="005F7916">
        <w:rPr>
          <w:rFonts w:ascii="Arial" w:hAnsi="Arial" w:cs="Arial"/>
        </w:rPr>
        <w:t>ά</w:t>
      </w:r>
      <w:r w:rsidR="00D959DB">
        <w:rPr>
          <w:rFonts w:ascii="Arial" w:hAnsi="Arial" w:cs="Arial"/>
        </w:rPr>
        <w:t>τ</w:t>
      </w:r>
      <w:r w:rsidR="005F7916">
        <w:rPr>
          <w:rFonts w:ascii="Arial" w:hAnsi="Arial" w:cs="Arial"/>
        </w:rPr>
        <w:t>ων</w:t>
      </w:r>
      <w:r w:rsidR="00D959DB">
        <w:rPr>
          <w:rFonts w:ascii="Arial" w:hAnsi="Arial" w:cs="Arial"/>
        </w:rPr>
        <w:t xml:space="preserve"> παροχών (κεντρικής παροχής και παροχών σε πίνακες διανομής)</w:t>
      </w:r>
      <w:r w:rsidR="00644BE5">
        <w:rPr>
          <w:rFonts w:ascii="Arial" w:hAnsi="Arial" w:cs="Arial"/>
        </w:rPr>
        <w:t>.</w:t>
      </w:r>
    </w:p>
    <w:p w14:paraId="588AAD2A" w14:textId="622AE0E1" w:rsidR="00D959DB" w:rsidRPr="005F7916" w:rsidRDefault="00D959DB" w:rsidP="00743226">
      <w:pPr>
        <w:ind w:left="-180"/>
        <w:jc w:val="both"/>
        <w:rPr>
          <w:rFonts w:ascii="Arial" w:hAnsi="Arial" w:cs="Arial"/>
          <w:b/>
          <w:u w:val="single"/>
        </w:rPr>
      </w:pPr>
      <w:r w:rsidRPr="00D959DB">
        <w:rPr>
          <w:rFonts w:ascii="Arial" w:hAnsi="Arial" w:cs="Arial"/>
          <w:u w:val="single"/>
        </w:rPr>
        <w:t xml:space="preserve">Ιδιαίτερη μέριμνα θα πρέπει να λαμβάνεται κατά το </w:t>
      </w:r>
      <w:r w:rsidR="00E010F5">
        <w:rPr>
          <w:rFonts w:ascii="Arial" w:hAnsi="Arial" w:cs="Arial"/>
          <w:u w:val="single"/>
        </w:rPr>
        <w:t xml:space="preserve">στάδιο </w:t>
      </w:r>
      <w:r w:rsidRPr="00D959DB">
        <w:rPr>
          <w:rFonts w:ascii="Arial" w:hAnsi="Arial" w:cs="Arial"/>
          <w:u w:val="single"/>
        </w:rPr>
        <w:t>σχεδιασμ</w:t>
      </w:r>
      <w:r w:rsidR="00E010F5">
        <w:rPr>
          <w:rFonts w:ascii="Arial" w:hAnsi="Arial" w:cs="Arial"/>
          <w:u w:val="single"/>
        </w:rPr>
        <w:t>ού</w:t>
      </w:r>
      <w:r w:rsidRPr="00D959DB">
        <w:rPr>
          <w:rFonts w:ascii="Arial" w:hAnsi="Arial" w:cs="Arial"/>
          <w:u w:val="single"/>
        </w:rPr>
        <w:t xml:space="preserve"> της εγκατάστασης, κατά το οποίο πρέπει να </w:t>
      </w:r>
      <w:r w:rsidRPr="00CD2CF3">
        <w:rPr>
          <w:rFonts w:ascii="Arial" w:hAnsi="Arial" w:cs="Arial"/>
          <w:u w:val="single"/>
        </w:rPr>
        <w:t xml:space="preserve">καθορίζεται επαρκώς η μέθοδος που έχει επιλεχθεί για τη συμμόρφωση με τις απαιτήσεις των </w:t>
      </w:r>
      <w:r w:rsidR="002D7FD7">
        <w:rPr>
          <w:rFonts w:ascii="Arial" w:hAnsi="Arial" w:cs="Arial"/>
          <w:u w:val="single"/>
        </w:rPr>
        <w:t>Κ</w:t>
      </w:r>
      <w:r w:rsidRPr="00CD2CF3">
        <w:rPr>
          <w:rFonts w:ascii="Arial" w:hAnsi="Arial" w:cs="Arial"/>
          <w:u w:val="single"/>
        </w:rPr>
        <w:t>ανονισμών.</w:t>
      </w:r>
      <w:r w:rsidRPr="005F7916">
        <w:rPr>
          <w:rFonts w:ascii="Arial" w:hAnsi="Arial" w:cs="Arial"/>
          <w:b/>
          <w:u w:val="single"/>
        </w:rPr>
        <w:t xml:space="preserve">  </w:t>
      </w:r>
    </w:p>
    <w:p w14:paraId="1E8BA8C0" w14:textId="3FF1E2CA" w:rsidR="00D959DB" w:rsidRDefault="00D959DB" w:rsidP="009B7B32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Ως εκ τούτου, και για σκοπούς διευκόλυνσης της διαδικασίας επιθεώρησης της ηλεκτρικής εγκατάστασης</w:t>
      </w:r>
      <w:r w:rsidR="00E010F5">
        <w:rPr>
          <w:rFonts w:ascii="Arial" w:hAnsi="Arial" w:cs="Arial"/>
        </w:rPr>
        <w:t xml:space="preserve"> και της όσο το δυνατό πληρέστερης αξιολόγησης της συμμόρφωσής της με την περί Ηλεκτρισμού Νομοθεσία</w:t>
      </w:r>
      <w:r>
        <w:rPr>
          <w:rFonts w:ascii="Arial" w:hAnsi="Arial" w:cs="Arial"/>
        </w:rPr>
        <w:t xml:space="preserve">, </w:t>
      </w:r>
      <w:r w:rsidRPr="005F7916">
        <w:rPr>
          <w:rFonts w:ascii="Arial" w:hAnsi="Arial" w:cs="Arial"/>
          <w:b/>
          <w:u w:val="single"/>
        </w:rPr>
        <w:t>η μέθοδος που έχει επιλεχθεί από τον μελετητή</w:t>
      </w:r>
      <w:r w:rsidR="00CD2CF3">
        <w:rPr>
          <w:rFonts w:ascii="Arial" w:hAnsi="Arial" w:cs="Arial"/>
          <w:b/>
          <w:u w:val="single"/>
        </w:rPr>
        <w:t xml:space="preserve"> ή/και έχει τελικά εφαρμοστεί</w:t>
      </w:r>
      <w:r w:rsidRPr="005F7916">
        <w:rPr>
          <w:rFonts w:ascii="Arial" w:hAnsi="Arial" w:cs="Arial"/>
          <w:b/>
          <w:u w:val="single"/>
        </w:rPr>
        <w:t xml:space="preserve"> για τη</w:t>
      </w:r>
      <w:r w:rsidR="00E010F5">
        <w:rPr>
          <w:rFonts w:ascii="Arial" w:hAnsi="Arial" w:cs="Arial"/>
          <w:b/>
          <w:u w:val="single"/>
        </w:rPr>
        <w:t xml:space="preserve">ν </w:t>
      </w:r>
      <w:r w:rsidRPr="005F7916">
        <w:rPr>
          <w:rFonts w:ascii="Arial" w:hAnsi="Arial" w:cs="Arial"/>
          <w:b/>
          <w:u w:val="single"/>
        </w:rPr>
        <w:t>προστασία των πιο πάνω καλωδιώσεων πρέπει να καθορίζεται επαρκώς στα σχέδια της ηλεκτρικής εγκατάστασης</w:t>
      </w:r>
      <w:r w:rsidR="005F7916" w:rsidRPr="005F7916">
        <w:rPr>
          <w:rFonts w:ascii="Arial" w:hAnsi="Arial" w:cs="Arial"/>
          <w:b/>
          <w:u w:val="single"/>
        </w:rPr>
        <w:t xml:space="preserve"> (μονογραμμικά ή/και κατόψεις)</w:t>
      </w:r>
      <w:r w:rsidRPr="005F7916">
        <w:rPr>
          <w:rFonts w:ascii="Arial" w:hAnsi="Arial" w:cs="Arial"/>
          <w:b/>
          <w:u w:val="single"/>
        </w:rPr>
        <w:t xml:space="preserve"> που υποβάλλονται για σκοπούς επιθεώρησης</w:t>
      </w:r>
      <w:r w:rsidR="005F7916" w:rsidRPr="005F7916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</w:t>
      </w:r>
      <w:r w:rsidR="00CD2CF3">
        <w:rPr>
          <w:rFonts w:ascii="Arial" w:hAnsi="Arial" w:cs="Arial"/>
        </w:rPr>
        <w:t xml:space="preserve">Νοείται </w:t>
      </w:r>
      <w:r w:rsidR="00E010F5">
        <w:rPr>
          <w:rFonts w:ascii="Arial" w:hAnsi="Arial" w:cs="Arial"/>
        </w:rPr>
        <w:t>ότι</w:t>
      </w:r>
      <w:r w:rsidR="002D7FD7">
        <w:rPr>
          <w:rFonts w:ascii="Arial" w:hAnsi="Arial" w:cs="Arial"/>
        </w:rPr>
        <w:t>,</w:t>
      </w:r>
      <w:r w:rsidR="00E010F5">
        <w:rPr>
          <w:rFonts w:ascii="Arial" w:hAnsi="Arial" w:cs="Arial"/>
        </w:rPr>
        <w:t xml:space="preserve"> σε περίπτωση που στα σχέδια της ηλεκτρικής εγκατάστασης δεν καθορίζεται επαρκώς η μέθοδος που έχει επιλεχθεί, οι επιθεωρητές</w:t>
      </w:r>
      <w:r w:rsidR="002D7FD7">
        <w:rPr>
          <w:rFonts w:ascii="Arial" w:hAnsi="Arial" w:cs="Arial"/>
        </w:rPr>
        <w:t>,</w:t>
      </w:r>
      <w:r w:rsidR="00E010F5">
        <w:rPr>
          <w:rFonts w:ascii="Arial" w:hAnsi="Arial" w:cs="Arial"/>
        </w:rPr>
        <w:t xml:space="preserve"> </w:t>
      </w:r>
      <w:r w:rsidR="002D7FD7">
        <w:rPr>
          <w:rFonts w:ascii="Arial" w:hAnsi="Arial" w:cs="Arial"/>
        </w:rPr>
        <w:t xml:space="preserve">για σκοπούς διασφάλισης της ασφάλειας του κοινού, </w:t>
      </w:r>
      <w:r w:rsidR="00E010F5">
        <w:rPr>
          <w:rFonts w:ascii="Arial" w:hAnsi="Arial" w:cs="Arial"/>
        </w:rPr>
        <w:t xml:space="preserve">είναι υποχρεωμένοι να ελέγξουν την εγκατάσταση </w:t>
      </w:r>
      <w:r w:rsidR="002D7FD7" w:rsidRPr="002D7FD7">
        <w:rPr>
          <w:rFonts w:ascii="Arial" w:hAnsi="Arial" w:cs="Arial"/>
          <w:b/>
          <w:u w:val="single"/>
        </w:rPr>
        <w:t>λαμβάνοντας υπόψη τη δυσμενέστερη περίπτωση.</w:t>
      </w:r>
      <w:r w:rsidR="002D7FD7">
        <w:rPr>
          <w:rFonts w:ascii="Arial" w:hAnsi="Arial" w:cs="Arial"/>
        </w:rPr>
        <w:t xml:space="preserve"> </w:t>
      </w:r>
      <w:r w:rsidR="00E010F5">
        <w:rPr>
          <w:rFonts w:ascii="Arial" w:hAnsi="Arial" w:cs="Arial"/>
        </w:rPr>
        <w:t xml:space="preserve"> </w:t>
      </w:r>
    </w:p>
    <w:p w14:paraId="70736BFB" w14:textId="77777777" w:rsidR="002D7FD7" w:rsidRDefault="002D7FD7" w:rsidP="009B7B32">
      <w:pPr>
        <w:ind w:left="-142"/>
        <w:jc w:val="both"/>
        <w:rPr>
          <w:rFonts w:ascii="Arial" w:hAnsi="Arial" w:cs="Arial"/>
        </w:rPr>
      </w:pPr>
    </w:p>
    <w:p w14:paraId="4477A75C" w14:textId="785F851F" w:rsidR="005F7916" w:rsidRDefault="002D7FD7" w:rsidP="002D7FD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Παρακαλούνται όλοι οι εμπλεκόμενοι για την πιστή εφαρμογή των πιο πάνω.</w:t>
      </w:r>
    </w:p>
    <w:sectPr w:rsidR="005F7916" w:rsidSect="00273196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EC2A" w16cex:dateUtc="2022-07-01T18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6F488" w14:textId="77777777" w:rsidR="002F1123" w:rsidRDefault="002F1123" w:rsidP="00F12988">
      <w:pPr>
        <w:spacing w:after="0" w:line="240" w:lineRule="auto"/>
      </w:pPr>
      <w:r>
        <w:separator/>
      </w:r>
    </w:p>
  </w:endnote>
  <w:endnote w:type="continuationSeparator" w:id="0">
    <w:p w14:paraId="1CE00485" w14:textId="77777777" w:rsidR="002F1123" w:rsidRDefault="002F1123" w:rsidP="00F1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948F" w14:textId="77777777" w:rsidR="00F12988" w:rsidRPr="00F12988" w:rsidRDefault="00F12988" w:rsidP="00F12988">
    <w:pPr>
      <w:pBdr>
        <w:bottom w:val="single" w:sz="6" w:space="1" w:color="auto"/>
      </w:pBdr>
      <w:spacing w:after="0" w:line="240" w:lineRule="auto"/>
      <w:rPr>
        <w:rFonts w:ascii="Tahoma" w:eastAsia="Calibri" w:hAnsi="Tahoma" w:cs="Tahoma"/>
        <w:sz w:val="12"/>
        <w:szCs w:val="12"/>
      </w:rPr>
    </w:pPr>
  </w:p>
  <w:tbl>
    <w:tblPr>
      <w:tblW w:w="9606" w:type="dxa"/>
      <w:tblLook w:val="04A0" w:firstRow="1" w:lastRow="0" w:firstColumn="1" w:lastColumn="0" w:noHBand="0" w:noVBand="1"/>
    </w:tblPr>
    <w:tblGrid>
      <w:gridCol w:w="1101"/>
      <w:gridCol w:w="1026"/>
      <w:gridCol w:w="7479"/>
    </w:tblGrid>
    <w:tr w:rsidR="00613F84" w:rsidRPr="00BA6C6A" w14:paraId="506C9484" w14:textId="77777777" w:rsidTr="00273196">
      <w:trPr>
        <w:trHeight w:val="850"/>
      </w:trPr>
      <w:tc>
        <w:tcPr>
          <w:tcW w:w="1101" w:type="dxa"/>
        </w:tcPr>
        <w:p w14:paraId="26D8F6E8" w14:textId="1BA50391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1026" w:type="dxa"/>
        </w:tcPr>
        <w:p w14:paraId="6C84E03F" w14:textId="24869484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7479" w:type="dxa"/>
          <w:vMerge w:val="restart"/>
          <w:vAlign w:val="center"/>
        </w:tcPr>
        <w:p w14:paraId="40DA6CAB" w14:textId="77777777" w:rsidR="00273196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</w:rPr>
          </w:pP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Λεωφ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. Αγίου </w:t>
          </w: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Ιλαρίωνος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, </w:t>
          </w: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Καΐμακλι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, 1426 Λευκωσία,   </w:t>
          </w:r>
          <w:proofErr w:type="spellStart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Ταχ</w:t>
          </w:r>
          <w:proofErr w:type="spellEnd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 xml:space="preserve">. </w:t>
          </w:r>
          <w:proofErr w:type="spellStart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Θυρ</w:t>
          </w:r>
          <w:proofErr w:type="spellEnd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. 29669, 1722 Λευκωσία</w:t>
          </w:r>
        </w:p>
        <w:p w14:paraId="3030850A" w14:textId="3F15C2AE" w:rsidR="00613F84" w:rsidRPr="00273196" w:rsidRDefault="00613F84" w:rsidP="00535535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US"/>
            </w:rPr>
          </w:pPr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Τηλ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  <w:lang w:val="fr-FR"/>
            </w:rPr>
            <w:t xml:space="preserve">: 22800351   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φαξ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613F84" w:rsidRPr="00BA6C6A" w14:paraId="4F2BAB5E" w14:textId="77777777" w:rsidTr="00273196">
      <w:trPr>
        <w:trHeight w:val="183"/>
      </w:trPr>
      <w:tc>
        <w:tcPr>
          <w:tcW w:w="1101" w:type="dxa"/>
          <w:vAlign w:val="center"/>
        </w:tcPr>
        <w:p w14:paraId="708A7B85" w14:textId="59FC4054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12"/>
              <w:szCs w:val="12"/>
              <w:lang w:val="en-GB"/>
            </w:rPr>
          </w:pPr>
        </w:p>
      </w:tc>
      <w:tc>
        <w:tcPr>
          <w:tcW w:w="1026" w:type="dxa"/>
        </w:tcPr>
        <w:p w14:paraId="0BB188EB" w14:textId="77777777" w:rsidR="00613F84" w:rsidRPr="00613F84" w:rsidRDefault="00613F84" w:rsidP="00613F84">
          <w:pPr>
            <w:keepNext/>
            <w:spacing w:after="0" w:line="240" w:lineRule="auto"/>
            <w:ind w:right="-717"/>
            <w:jc w:val="center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7479" w:type="dxa"/>
          <w:vMerge/>
          <w:vAlign w:val="center"/>
        </w:tcPr>
        <w:p w14:paraId="34DE4C8E" w14:textId="77777777" w:rsidR="00613F84" w:rsidRPr="00644BE5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Arial" w:eastAsia="Times New Roman" w:hAnsi="Arial" w:cs="Arial"/>
              <w:bCs/>
              <w:iCs/>
              <w:sz w:val="14"/>
              <w:szCs w:val="14"/>
              <w:lang w:val="en-US"/>
            </w:rPr>
          </w:pPr>
        </w:p>
      </w:tc>
    </w:tr>
  </w:tbl>
  <w:p w14:paraId="595A0F70" w14:textId="77777777" w:rsidR="00613F84" w:rsidRPr="00613F84" w:rsidRDefault="00613F84" w:rsidP="00613F84">
    <w:pPr>
      <w:keepNext/>
      <w:spacing w:after="0" w:line="240" w:lineRule="auto"/>
      <w:ind w:right="-717"/>
      <w:outlineLvl w:val="6"/>
      <w:rPr>
        <w:rFonts w:ascii="Arial" w:eastAsia="Times New Roman" w:hAnsi="Arial" w:cs="Arial"/>
        <w:bCs/>
        <w:iCs/>
        <w:sz w:val="14"/>
        <w:szCs w:val="14"/>
        <w:lang w:val="en-US" w:eastAsia="x-none"/>
      </w:rPr>
    </w:pPr>
  </w:p>
  <w:p w14:paraId="6F0F10CE" w14:textId="77777777" w:rsidR="00F12988" w:rsidRPr="00F12988" w:rsidRDefault="00F12988" w:rsidP="00613F84">
    <w:pPr>
      <w:keepNext/>
      <w:spacing w:after="0" w:line="240" w:lineRule="auto"/>
      <w:ind w:right="-717"/>
      <w:jc w:val="center"/>
      <w:outlineLvl w:val="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4A65E" w14:textId="77777777" w:rsidR="002F1123" w:rsidRDefault="002F1123" w:rsidP="00F12988">
      <w:pPr>
        <w:spacing w:after="0" w:line="240" w:lineRule="auto"/>
      </w:pPr>
      <w:r>
        <w:separator/>
      </w:r>
    </w:p>
  </w:footnote>
  <w:footnote w:type="continuationSeparator" w:id="0">
    <w:p w14:paraId="210DC450" w14:textId="77777777" w:rsidR="002F1123" w:rsidRDefault="002F1123" w:rsidP="00F1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A11"/>
    <w:multiLevelType w:val="hybridMultilevel"/>
    <w:tmpl w:val="70CE1B9A"/>
    <w:lvl w:ilvl="0" w:tplc="0408000F">
      <w:start w:val="1"/>
      <w:numFmt w:val="decimal"/>
      <w:lvlText w:val="%1."/>
      <w:lvlJc w:val="left"/>
      <w:pPr>
        <w:ind w:left="640" w:hanging="360"/>
      </w:p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CFC7DA7"/>
    <w:multiLevelType w:val="hybridMultilevel"/>
    <w:tmpl w:val="A106FA62"/>
    <w:lvl w:ilvl="0" w:tplc="31F4B5A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BD2"/>
    <w:multiLevelType w:val="hybridMultilevel"/>
    <w:tmpl w:val="90DAA5F6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2F0374"/>
    <w:multiLevelType w:val="hybridMultilevel"/>
    <w:tmpl w:val="4D5AD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63C4"/>
    <w:multiLevelType w:val="hybridMultilevel"/>
    <w:tmpl w:val="3CB20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8"/>
    <w:rsid w:val="00000C63"/>
    <w:rsid w:val="00003D1D"/>
    <w:rsid w:val="000270A9"/>
    <w:rsid w:val="00055D65"/>
    <w:rsid w:val="000868CD"/>
    <w:rsid w:val="000B4C5B"/>
    <w:rsid w:val="000C51A6"/>
    <w:rsid w:val="000D5868"/>
    <w:rsid w:val="000F53CA"/>
    <w:rsid w:val="00111A8A"/>
    <w:rsid w:val="00125FED"/>
    <w:rsid w:val="00131E3F"/>
    <w:rsid w:val="001561DE"/>
    <w:rsid w:val="00194AA7"/>
    <w:rsid w:val="001A47CF"/>
    <w:rsid w:val="001E1CB4"/>
    <w:rsid w:val="00220CED"/>
    <w:rsid w:val="00273196"/>
    <w:rsid w:val="002C510F"/>
    <w:rsid w:val="002D1151"/>
    <w:rsid w:val="002D4405"/>
    <w:rsid w:val="002D7FD7"/>
    <w:rsid w:val="002F1123"/>
    <w:rsid w:val="003151BE"/>
    <w:rsid w:val="00320D2B"/>
    <w:rsid w:val="00340BF8"/>
    <w:rsid w:val="00345F3C"/>
    <w:rsid w:val="00370F92"/>
    <w:rsid w:val="00387675"/>
    <w:rsid w:val="003E6A80"/>
    <w:rsid w:val="00464D13"/>
    <w:rsid w:val="004A5B89"/>
    <w:rsid w:val="004B4C0D"/>
    <w:rsid w:val="004C151D"/>
    <w:rsid w:val="004D0888"/>
    <w:rsid w:val="004D1FB8"/>
    <w:rsid w:val="004E1F5C"/>
    <w:rsid w:val="005105E7"/>
    <w:rsid w:val="00511286"/>
    <w:rsid w:val="00532C5E"/>
    <w:rsid w:val="005346B4"/>
    <w:rsid w:val="00535535"/>
    <w:rsid w:val="005358C5"/>
    <w:rsid w:val="005567D6"/>
    <w:rsid w:val="005C2185"/>
    <w:rsid w:val="005C2E52"/>
    <w:rsid w:val="005D0AE5"/>
    <w:rsid w:val="005D3118"/>
    <w:rsid w:val="005F7916"/>
    <w:rsid w:val="00603928"/>
    <w:rsid w:val="00612C8F"/>
    <w:rsid w:val="00613F84"/>
    <w:rsid w:val="00634FD3"/>
    <w:rsid w:val="006367DF"/>
    <w:rsid w:val="00644BE5"/>
    <w:rsid w:val="006719B6"/>
    <w:rsid w:val="006B6621"/>
    <w:rsid w:val="006B6CA6"/>
    <w:rsid w:val="006D7678"/>
    <w:rsid w:val="006E7664"/>
    <w:rsid w:val="00701507"/>
    <w:rsid w:val="00701BA6"/>
    <w:rsid w:val="00703D38"/>
    <w:rsid w:val="00726767"/>
    <w:rsid w:val="00736413"/>
    <w:rsid w:val="00743226"/>
    <w:rsid w:val="007647C0"/>
    <w:rsid w:val="007A2CC0"/>
    <w:rsid w:val="007E4613"/>
    <w:rsid w:val="00812583"/>
    <w:rsid w:val="00814331"/>
    <w:rsid w:val="008724B6"/>
    <w:rsid w:val="008B2FE0"/>
    <w:rsid w:val="008C1AF4"/>
    <w:rsid w:val="008D0328"/>
    <w:rsid w:val="008D7714"/>
    <w:rsid w:val="00955DD3"/>
    <w:rsid w:val="00971455"/>
    <w:rsid w:val="009A307D"/>
    <w:rsid w:val="009B7B32"/>
    <w:rsid w:val="009C7B2C"/>
    <w:rsid w:val="009D24E3"/>
    <w:rsid w:val="00A53BC4"/>
    <w:rsid w:val="00AB65E3"/>
    <w:rsid w:val="00B2235A"/>
    <w:rsid w:val="00B2251D"/>
    <w:rsid w:val="00B578C6"/>
    <w:rsid w:val="00B91174"/>
    <w:rsid w:val="00BA6C6A"/>
    <w:rsid w:val="00BA79CC"/>
    <w:rsid w:val="00BB0898"/>
    <w:rsid w:val="00BB5485"/>
    <w:rsid w:val="00BE7E63"/>
    <w:rsid w:val="00BF300E"/>
    <w:rsid w:val="00BF3C63"/>
    <w:rsid w:val="00C061D6"/>
    <w:rsid w:val="00C25992"/>
    <w:rsid w:val="00C36856"/>
    <w:rsid w:val="00C86D94"/>
    <w:rsid w:val="00C927B9"/>
    <w:rsid w:val="00C96E46"/>
    <w:rsid w:val="00CB2BB3"/>
    <w:rsid w:val="00CD2CF3"/>
    <w:rsid w:val="00CF062F"/>
    <w:rsid w:val="00D23624"/>
    <w:rsid w:val="00D54603"/>
    <w:rsid w:val="00D952DA"/>
    <w:rsid w:val="00D959DB"/>
    <w:rsid w:val="00DD7456"/>
    <w:rsid w:val="00DE5473"/>
    <w:rsid w:val="00E00C94"/>
    <w:rsid w:val="00E010F5"/>
    <w:rsid w:val="00E62549"/>
    <w:rsid w:val="00E86121"/>
    <w:rsid w:val="00E9355A"/>
    <w:rsid w:val="00E93BC6"/>
    <w:rsid w:val="00E97508"/>
    <w:rsid w:val="00EA6366"/>
    <w:rsid w:val="00EC4BD5"/>
    <w:rsid w:val="00EF0ABD"/>
    <w:rsid w:val="00F12988"/>
    <w:rsid w:val="00F16591"/>
    <w:rsid w:val="00F37E79"/>
    <w:rsid w:val="00F46659"/>
    <w:rsid w:val="00F76B0C"/>
    <w:rsid w:val="00F8232C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86938"/>
  <w15:chartTrackingRefBased/>
  <w15:docId w15:val="{D0D233A2-AE25-4577-811C-BD44415F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12988"/>
    <w:pPr>
      <w:keepNext/>
      <w:spacing w:after="0" w:line="240" w:lineRule="auto"/>
      <w:outlineLvl w:val="6"/>
    </w:pPr>
    <w:rPr>
      <w:rFonts w:ascii="Tahoma" w:eastAsia="Times New Roman" w:hAnsi="Tahoma" w:cs="Tahoma"/>
      <w:i/>
      <w:i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88"/>
  </w:style>
  <w:style w:type="paragraph" w:styleId="Footer">
    <w:name w:val="footer"/>
    <w:basedOn w:val="Normal"/>
    <w:link w:val="FooterChar"/>
    <w:uiPriority w:val="99"/>
    <w:unhideWhenUsed/>
    <w:rsid w:val="00F12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88"/>
  </w:style>
  <w:style w:type="character" w:customStyle="1" w:styleId="Heading7Char">
    <w:name w:val="Heading 7 Char"/>
    <w:basedOn w:val="DefaultParagraphFont"/>
    <w:link w:val="Heading7"/>
    <w:rsid w:val="00F12988"/>
    <w:rPr>
      <w:rFonts w:ascii="Tahoma" w:eastAsia="Times New Roman" w:hAnsi="Tahoma" w:cs="Tahoma"/>
      <w:i/>
      <w:iCs/>
      <w:sz w:val="20"/>
      <w:szCs w:val="24"/>
      <w:lang w:val="en-GB"/>
    </w:rPr>
  </w:style>
  <w:style w:type="paragraph" w:styleId="BodyText2">
    <w:name w:val="Body Text 2"/>
    <w:basedOn w:val="Normal"/>
    <w:link w:val="BodyText2Char"/>
    <w:rsid w:val="00F1298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12988"/>
    <w:rPr>
      <w:rFonts w:ascii="Tahoma" w:eastAsia="Times New Roman" w:hAnsi="Tahoma" w:cs="Tahoma"/>
      <w:sz w:val="24"/>
      <w:szCs w:val="24"/>
      <w:lang w:val="en-GB"/>
    </w:rPr>
  </w:style>
  <w:style w:type="character" w:styleId="Hyperlink">
    <w:name w:val="Hyperlink"/>
    <w:rsid w:val="00F12988"/>
    <w:rPr>
      <w:color w:val="0000FF"/>
      <w:u w:val="single"/>
    </w:rPr>
  </w:style>
  <w:style w:type="paragraph" w:styleId="Revision">
    <w:name w:val="Revision"/>
    <w:hidden/>
    <w:uiPriority w:val="99"/>
    <w:semiHidden/>
    <w:rsid w:val="00C86D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3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8.30D2?OpenElement&amp;FieldElemFormat=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Sofroniou</dc:creator>
  <cp:keywords/>
  <dc:description/>
  <cp:lastModifiedBy>Eleftheria Sofroniou</cp:lastModifiedBy>
  <cp:revision>8</cp:revision>
  <cp:lastPrinted>2022-10-04T07:27:00Z</cp:lastPrinted>
  <dcterms:created xsi:type="dcterms:W3CDTF">2022-10-04T06:58:00Z</dcterms:created>
  <dcterms:modified xsi:type="dcterms:W3CDTF">2022-10-21T07:49:00Z</dcterms:modified>
</cp:coreProperties>
</file>